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89" w:rsidRDefault="00FE4482" w:rsidP="00FE4482">
      <w:pPr>
        <w:jc w:val="right"/>
        <w:rPr>
          <w:sz w:val="28"/>
          <w:szCs w:val="28"/>
          <w:rtl/>
        </w:rPr>
      </w:pPr>
      <w:bookmarkStart w:id="0" w:name="_GoBack"/>
      <w:bookmarkEnd w:id="0"/>
      <w:r>
        <w:rPr>
          <w:rFonts w:hint="eastAsia"/>
          <w:sz w:val="28"/>
          <w:szCs w:val="28"/>
          <w:rtl/>
        </w:rPr>
        <w:t>‏</w:t>
      </w:r>
      <w:r>
        <w:rPr>
          <w:sz w:val="28"/>
          <w:szCs w:val="28"/>
          <w:rtl/>
        </w:rPr>
        <w:t>24 אפריל, 2012</w:t>
      </w:r>
    </w:p>
    <w:p w:rsidR="00FE4482" w:rsidRDefault="00FE4482" w:rsidP="00FE4482">
      <w:pPr>
        <w:jc w:val="right"/>
        <w:rPr>
          <w:sz w:val="28"/>
          <w:szCs w:val="28"/>
          <w:rtl/>
        </w:rPr>
      </w:pPr>
    </w:p>
    <w:p w:rsidR="00FE4482" w:rsidRDefault="00FE4482" w:rsidP="00FE4482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13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544</w:t>
      </w:r>
    </w:p>
    <w:p w:rsidR="00FE4482" w:rsidRDefault="00FE4482" w:rsidP="00FE4482">
      <w:pPr>
        <w:jc w:val="right"/>
        <w:rPr>
          <w:sz w:val="28"/>
          <w:szCs w:val="28"/>
          <w:rtl/>
        </w:rPr>
      </w:pPr>
    </w:p>
    <w:p w:rsidR="00F914AD" w:rsidRDefault="00F914AD" w:rsidP="00FE4482">
      <w:pPr>
        <w:jc w:val="right"/>
        <w:rPr>
          <w:sz w:val="28"/>
          <w:szCs w:val="28"/>
          <w:rtl/>
        </w:rPr>
      </w:pPr>
    </w:p>
    <w:p w:rsidR="00FE4482" w:rsidRPr="00FE4482" w:rsidRDefault="00FE4482" w:rsidP="00FE4482">
      <w:pPr>
        <w:jc w:val="center"/>
        <w:rPr>
          <w:b/>
          <w:bCs/>
          <w:sz w:val="28"/>
          <w:szCs w:val="28"/>
          <w:rtl/>
        </w:rPr>
      </w:pPr>
      <w:r w:rsidRPr="00FE4482">
        <w:rPr>
          <w:rFonts w:hint="cs"/>
          <w:b/>
          <w:bCs/>
          <w:sz w:val="28"/>
          <w:szCs w:val="28"/>
          <w:rtl/>
        </w:rPr>
        <w:t>סיכום ישיבה שהתקיימה ביום 19.4.12</w:t>
      </w:r>
    </w:p>
    <w:p w:rsidR="00FE4482" w:rsidRPr="00FE4482" w:rsidRDefault="00FE4482" w:rsidP="00FE4482">
      <w:pPr>
        <w:jc w:val="center"/>
        <w:rPr>
          <w:b/>
          <w:bCs/>
          <w:sz w:val="28"/>
          <w:szCs w:val="28"/>
          <w:u w:val="single"/>
          <w:rtl/>
        </w:rPr>
      </w:pPr>
      <w:r w:rsidRPr="00FE4482">
        <w:rPr>
          <w:rFonts w:hint="cs"/>
          <w:b/>
          <w:bCs/>
          <w:sz w:val="28"/>
          <w:szCs w:val="28"/>
          <w:u w:val="single"/>
          <w:rtl/>
        </w:rPr>
        <w:t>בנושא גמישות ניהולית</w:t>
      </w:r>
    </w:p>
    <w:p w:rsidR="00FE4482" w:rsidRDefault="00FE4482" w:rsidP="00FE4482">
      <w:pPr>
        <w:jc w:val="center"/>
        <w:rPr>
          <w:sz w:val="28"/>
          <w:szCs w:val="28"/>
          <w:rtl/>
        </w:rPr>
      </w:pPr>
    </w:p>
    <w:p w:rsidR="00FE4482" w:rsidRDefault="00FE4482" w:rsidP="00F8663A">
      <w:pPr>
        <w:rPr>
          <w:sz w:val="28"/>
          <w:szCs w:val="28"/>
          <w:rtl/>
        </w:rPr>
      </w:pPr>
      <w:r w:rsidRPr="00FE4482">
        <w:rPr>
          <w:rFonts w:hint="cs"/>
          <w:sz w:val="28"/>
          <w:szCs w:val="28"/>
          <w:u w:val="single"/>
          <w:rtl/>
        </w:rPr>
        <w:t>נכחו:</w:t>
      </w:r>
      <w:r>
        <w:rPr>
          <w:rFonts w:hint="cs"/>
          <w:sz w:val="28"/>
          <w:szCs w:val="28"/>
          <w:rtl/>
        </w:rPr>
        <w:t xml:space="preserve">  מר מוטי אהרוני, נעמי אסולין, לאה בוצר, מר רונן בן-אור, גב' אורי ארי, גב' חוה טיאני, </w:t>
      </w:r>
    </w:p>
    <w:p w:rsidR="00FE4482" w:rsidRDefault="00FE4482" w:rsidP="00FE448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מר אייל הררי, מר ראובן לוי, מר עמרי דגן, גב' עדנה אלפסי, מר אבי בוסקילה.</w:t>
      </w:r>
    </w:p>
    <w:p w:rsidR="00FE4482" w:rsidRDefault="00FE4482" w:rsidP="00FE4482">
      <w:pPr>
        <w:jc w:val="center"/>
        <w:rPr>
          <w:sz w:val="28"/>
          <w:szCs w:val="28"/>
          <w:rtl/>
        </w:rPr>
      </w:pPr>
    </w:p>
    <w:p w:rsidR="00FE4482" w:rsidRDefault="00FE4482" w:rsidP="00FE4482">
      <w:pPr>
        <w:jc w:val="center"/>
        <w:rPr>
          <w:sz w:val="28"/>
          <w:szCs w:val="28"/>
          <w:rtl/>
        </w:rPr>
      </w:pPr>
    </w:p>
    <w:p w:rsidR="00FE4482" w:rsidRDefault="00FE4482" w:rsidP="00FE4482">
      <w:pPr>
        <w:rPr>
          <w:sz w:val="28"/>
          <w:szCs w:val="28"/>
          <w:u w:val="single"/>
          <w:rtl/>
        </w:rPr>
      </w:pPr>
      <w:r w:rsidRPr="00FE4482">
        <w:rPr>
          <w:rFonts w:hint="cs"/>
          <w:sz w:val="28"/>
          <w:szCs w:val="28"/>
          <w:u w:val="single"/>
          <w:rtl/>
        </w:rPr>
        <w:t>להלן עיקרי הנושאים שהועלו והחלטות שנתקבלו:</w:t>
      </w:r>
    </w:p>
    <w:p w:rsidR="00FE4482" w:rsidRDefault="00FE4482" w:rsidP="00FE4482">
      <w:pPr>
        <w:rPr>
          <w:sz w:val="28"/>
          <w:szCs w:val="28"/>
          <w:u w:val="single"/>
          <w:rtl/>
        </w:rPr>
      </w:pPr>
    </w:p>
    <w:p w:rsidR="00C01427" w:rsidRPr="00C01427" w:rsidRDefault="00F8663A" w:rsidP="00C01427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מר אבי בוסקילה, מנכ"ל שראל, הציג את חברת שראל לחברי הצוות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 w:rsidR="00C01427">
        <w:rPr>
          <w:rFonts w:hint="cs"/>
          <w:sz w:val="28"/>
          <w:szCs w:val="28"/>
          <w:rtl/>
        </w:rPr>
        <w:t>ח</w:t>
      </w:r>
      <w:r>
        <w:rPr>
          <w:rFonts w:hint="cs"/>
          <w:sz w:val="28"/>
          <w:szCs w:val="28"/>
          <w:rtl/>
        </w:rPr>
        <w:t xml:space="preserve">זון, ייעוד, מטרות, מבנה. בהצגה התייחסה גב' </w:t>
      </w:r>
      <w:r w:rsidRPr="00F8663A">
        <w:rPr>
          <w:rFonts w:hint="cs"/>
          <w:sz w:val="28"/>
          <w:szCs w:val="28"/>
          <w:rtl/>
        </w:rPr>
        <w:t>טיאני לנושא הגמישות הניהולית.</w:t>
      </w:r>
      <w:r w:rsidR="00C01427">
        <w:rPr>
          <w:sz w:val="28"/>
          <w:szCs w:val="28"/>
          <w:rtl/>
        </w:rPr>
        <w:br/>
      </w:r>
    </w:p>
    <w:p w:rsidR="00C01427" w:rsidRDefault="00C01427" w:rsidP="00C01427">
      <w:pPr>
        <w:pStyle w:val="a7"/>
        <w:numPr>
          <w:ilvl w:val="0"/>
          <w:numId w:val="1"/>
        </w:numPr>
        <w:rPr>
          <w:sz w:val="28"/>
          <w:szCs w:val="28"/>
        </w:rPr>
      </w:pPr>
      <w:r w:rsidRPr="00C01427">
        <w:rPr>
          <w:rFonts w:hint="cs"/>
          <w:sz w:val="28"/>
          <w:szCs w:val="28"/>
          <w:rtl/>
        </w:rPr>
        <w:t>גב' חוה טיאני, תיארה</w:t>
      </w:r>
      <w:r>
        <w:rPr>
          <w:rFonts w:hint="cs"/>
          <w:sz w:val="28"/>
          <w:szCs w:val="28"/>
          <w:rtl/>
        </w:rPr>
        <w:t xml:space="preserve"> את הגמישות הניהולית בשראל תוך </w:t>
      </w:r>
      <w:r w:rsidR="00B12BAA">
        <w:rPr>
          <w:rFonts w:hint="cs"/>
          <w:sz w:val="28"/>
          <w:szCs w:val="28"/>
          <w:rtl/>
        </w:rPr>
        <w:t>א</w:t>
      </w:r>
      <w:r>
        <w:rPr>
          <w:rFonts w:hint="cs"/>
          <w:sz w:val="28"/>
          <w:szCs w:val="28"/>
          <w:rtl/>
        </w:rPr>
        <w:t>יזכור הליך של העברת העובדים מעובדי מדינה לעובדי חברה.</w:t>
      </w:r>
      <w:r>
        <w:rPr>
          <w:sz w:val="28"/>
          <w:szCs w:val="28"/>
          <w:rtl/>
        </w:rPr>
        <w:br/>
      </w:r>
    </w:p>
    <w:p w:rsidR="00C01427" w:rsidRDefault="00C01427" w:rsidP="00C01427">
      <w:pPr>
        <w:pStyle w:val="a7"/>
        <w:numPr>
          <w:ilvl w:val="0"/>
          <w:numId w:val="1"/>
        </w:numPr>
        <w:rPr>
          <w:sz w:val="28"/>
          <w:szCs w:val="28"/>
        </w:rPr>
      </w:pPr>
      <w:r w:rsidRPr="00C01427">
        <w:rPr>
          <w:rFonts w:hint="cs"/>
          <w:sz w:val="28"/>
          <w:szCs w:val="28"/>
          <w:rtl/>
        </w:rPr>
        <w:t>מר בוסקילה וגב' טיאני תיארו את פעילות שראל בנושא גמישות ניהולית:</w:t>
      </w:r>
    </w:p>
    <w:p w:rsidR="0065539E" w:rsidRDefault="00C01427" w:rsidP="00C01427">
      <w:pPr>
        <w:pStyle w:val="a7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שימור עובדים צעירים ומוכשרים, ע"י תגמול מעבר למסגרת לדוגמא: דרגת עתודה, כאשר לרשות המנכ"ל מכסת דרגות ובהתאם לקבוע מדיניותו </w:t>
      </w:r>
      <w:r w:rsidR="0065539E">
        <w:rPr>
          <w:rFonts w:hint="cs"/>
          <w:sz w:val="28"/>
          <w:szCs w:val="28"/>
          <w:rtl/>
        </w:rPr>
        <w:t>המכסה מחולקת.</w:t>
      </w:r>
    </w:p>
    <w:p w:rsidR="0065539E" w:rsidRDefault="0065539E" w:rsidP="00C01427">
      <w:pPr>
        <w:pStyle w:val="a7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בסוף שנה עפ"י עמידה ביעדים וקביעת קריטריונים ניתן בונוס.</w:t>
      </w:r>
    </w:p>
    <w:p w:rsidR="0065539E" w:rsidRDefault="0065539E" w:rsidP="00C01427">
      <w:pPr>
        <w:pStyle w:val="a7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נקבעת מסגרת תקציבית לתכניות השתלמות, הכשרות עפ"י קריטריונים שנקבעים ע"י המנכ"ל.</w:t>
      </w:r>
    </w:p>
    <w:p w:rsidR="00D70292" w:rsidRDefault="0065539E" w:rsidP="00C01427">
      <w:pPr>
        <w:pStyle w:val="a7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הכשרות לעתודה ניהולית, מתבצעת עפ"י מיפוי דרג ניהולי ביניים, העובדים שנבחרו </w:t>
      </w:r>
      <w:r w:rsidR="00D70292">
        <w:rPr>
          <w:rFonts w:hint="cs"/>
          <w:sz w:val="28"/>
          <w:szCs w:val="28"/>
          <w:rtl/>
        </w:rPr>
        <w:t xml:space="preserve">מקיימים פורום, נפגשים אחת לתקופה ומבצעת פעילויות העשרה, הכשרה ובחינת קידום תהליכים ברמת החברה. המנכ"ל מצמיד לעובדים אלה חונכים, שיתוף פעולה עם הועד, משובים ושיחות אישיות עם העובדים.   </w:t>
      </w:r>
      <w:r>
        <w:rPr>
          <w:rFonts w:hint="cs"/>
          <w:sz w:val="28"/>
          <w:szCs w:val="28"/>
          <w:rtl/>
        </w:rPr>
        <w:t xml:space="preserve"> </w:t>
      </w:r>
      <w:r w:rsidR="00D70292">
        <w:rPr>
          <w:sz w:val="28"/>
          <w:szCs w:val="28"/>
          <w:rtl/>
        </w:rPr>
        <w:br/>
      </w:r>
    </w:p>
    <w:p w:rsidR="00B56745" w:rsidRDefault="00D70292" w:rsidP="00D70292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מר מוטי אהרוני, ס/נציב  שירות המדינה, דיבר על אני המאמין שלו בנושא </w:t>
      </w:r>
      <w:r w:rsidR="00B56745">
        <w:rPr>
          <w:rFonts w:hint="cs"/>
          <w:sz w:val="28"/>
          <w:szCs w:val="28"/>
          <w:rtl/>
        </w:rPr>
        <w:t>עתודה ניהולית</w:t>
      </w:r>
    </w:p>
    <w:p w:rsidR="00B56745" w:rsidRDefault="00B56745" w:rsidP="00B56745">
      <w:pPr>
        <w:pStyle w:val="a7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התאמת המשאב האנושי לאסטרטגיה המשתנה של הארגון.</w:t>
      </w:r>
    </w:p>
    <w:p w:rsidR="00B56745" w:rsidRDefault="00B56745" w:rsidP="00B56745">
      <w:pPr>
        <w:pStyle w:val="a7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היכולת שלנו להביא את העובדים הוותיקים לעמוד בקצב השינויים.</w:t>
      </w:r>
    </w:p>
    <w:p w:rsidR="00B56745" w:rsidRDefault="00B56745" w:rsidP="00B56745">
      <w:pPr>
        <w:pStyle w:val="a7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התמודדות עם עובדים צעירים הנקלטים לתקופות קצרות יחסית ומתניידים ביוזמתם למקומות ותפקידים אחרים.</w:t>
      </w:r>
    </w:p>
    <w:p w:rsidR="00B56745" w:rsidRDefault="00B56745" w:rsidP="00B56745">
      <w:pPr>
        <w:pStyle w:val="a7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מציע התמקדות במס' נושאים מצומצם לקידום הגמישות מתוך הבנה את נוקשות המערכת הקיימת.</w:t>
      </w:r>
      <w:r>
        <w:rPr>
          <w:sz w:val="28"/>
          <w:szCs w:val="28"/>
          <w:rtl/>
        </w:rPr>
        <w:br/>
      </w:r>
    </w:p>
    <w:p w:rsidR="00B56745" w:rsidRDefault="00B56745" w:rsidP="00B5674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B56745" w:rsidRDefault="00B56745" w:rsidP="00B5674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../2</w:t>
      </w:r>
    </w:p>
    <w:p w:rsidR="00B56745" w:rsidRDefault="00B56745" w:rsidP="00B56745">
      <w:pPr>
        <w:rPr>
          <w:sz w:val="28"/>
          <w:szCs w:val="28"/>
          <w:rtl/>
        </w:rPr>
      </w:pPr>
    </w:p>
    <w:p w:rsidR="00B56745" w:rsidRDefault="00B56745" w:rsidP="00B56745">
      <w:pPr>
        <w:rPr>
          <w:sz w:val="28"/>
          <w:szCs w:val="28"/>
          <w:rtl/>
        </w:rPr>
      </w:pPr>
    </w:p>
    <w:p w:rsidR="00B56745" w:rsidRDefault="00B56745" w:rsidP="00B56745">
      <w:pPr>
        <w:pStyle w:val="a7"/>
        <w:numPr>
          <w:ilvl w:val="2"/>
          <w:numId w:val="1"/>
        </w:numPr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2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</w:p>
    <w:p w:rsidR="00B56745" w:rsidRDefault="00B56745" w:rsidP="00B56745">
      <w:pPr>
        <w:rPr>
          <w:sz w:val="28"/>
          <w:szCs w:val="28"/>
          <w:rtl/>
        </w:rPr>
      </w:pPr>
    </w:p>
    <w:p w:rsidR="00B56745" w:rsidRDefault="00B56745" w:rsidP="00946ABD">
      <w:pPr>
        <w:pStyle w:val="a7"/>
        <w:rPr>
          <w:sz w:val="28"/>
          <w:szCs w:val="28"/>
        </w:rPr>
      </w:pPr>
    </w:p>
    <w:p w:rsidR="00B56745" w:rsidRDefault="00B56745" w:rsidP="00946ABD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הועדה החליטה להתמקד בנושא הגמישות הניהולית תוך </w:t>
      </w:r>
      <w:r w:rsidR="00946ABD">
        <w:rPr>
          <w:rFonts w:hint="cs"/>
          <w:sz w:val="28"/>
          <w:szCs w:val="28"/>
          <w:rtl/>
        </w:rPr>
        <w:t>ה</w:t>
      </w:r>
      <w:r>
        <w:rPr>
          <w:rFonts w:hint="cs"/>
          <w:sz w:val="28"/>
          <w:szCs w:val="28"/>
          <w:rtl/>
        </w:rPr>
        <w:t>לימה בין אחריות תפקודית לבין היכולת של המנהל להניע, להזיז, לנייד, להעריך, לתגמל.</w:t>
      </w:r>
    </w:p>
    <w:p w:rsidR="00ED1BCA" w:rsidRDefault="00B56745" w:rsidP="00B56745">
      <w:pPr>
        <w:pStyle w:val="a7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להתמקד</w:t>
      </w:r>
      <w:r w:rsidR="00946ABD">
        <w:rPr>
          <w:rFonts w:hint="cs"/>
          <w:sz w:val="28"/>
          <w:szCs w:val="28"/>
          <w:rtl/>
        </w:rPr>
        <w:t>,</w:t>
      </w:r>
      <w:r>
        <w:rPr>
          <w:rFonts w:hint="cs"/>
          <w:sz w:val="28"/>
          <w:szCs w:val="28"/>
          <w:rtl/>
        </w:rPr>
        <w:t xml:space="preserve"> בשינוי התקשי"ר והאחריות מנהל היחידה, תוך מתן משאבים במכסות ובמסגרת שתקבע מראש ע"י קריטריונים ומדדים אחידים, שינוסחו ויאפשרו למנהל גמישות ניהולית שתהווה עתיד ניהולי לארגון. </w:t>
      </w:r>
    </w:p>
    <w:p w:rsidR="00946ABD" w:rsidRDefault="00ED1BCA" w:rsidP="00ED1BCA">
      <w:pPr>
        <w:pStyle w:val="a7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חברי הועדה מתבקשים להעביר המלצותיהם</w:t>
      </w:r>
      <w:r w:rsidR="00B5674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להענקת כלים ניהולים  שיאפשרו ניוד, תגמול,</w:t>
      </w:r>
    </w:p>
    <w:p w:rsidR="00ED1BCA" w:rsidRDefault="00ED1BCA" w:rsidP="00ED1BCA">
      <w:pPr>
        <w:pStyle w:val="a7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הערכה ופיטורין בעת הצורך.</w:t>
      </w:r>
    </w:p>
    <w:p w:rsidR="00946ABD" w:rsidRDefault="00946ABD" w:rsidP="00B56745">
      <w:pPr>
        <w:pStyle w:val="a7"/>
        <w:rPr>
          <w:sz w:val="28"/>
          <w:szCs w:val="28"/>
          <w:rtl/>
        </w:rPr>
      </w:pPr>
    </w:p>
    <w:p w:rsidR="00B56745" w:rsidRDefault="00946ABD" w:rsidP="00946ABD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גב' נעמי אסולין הודתה למארחים על האירוח הנעים ושיתוף הפעולה.</w:t>
      </w:r>
      <w:r>
        <w:rPr>
          <w:sz w:val="28"/>
          <w:szCs w:val="28"/>
          <w:rtl/>
        </w:rPr>
        <w:br/>
      </w:r>
      <w:r w:rsidR="00C01427" w:rsidRPr="00C01427">
        <w:rPr>
          <w:sz w:val="28"/>
          <w:szCs w:val="28"/>
          <w:rtl/>
        </w:rPr>
        <w:br/>
      </w:r>
      <w:r w:rsidR="00C01427" w:rsidRPr="00C01427">
        <w:rPr>
          <w:rFonts w:hint="cs"/>
          <w:sz w:val="28"/>
          <w:szCs w:val="28"/>
          <w:rtl/>
        </w:rPr>
        <w:t xml:space="preserve">  </w:t>
      </w:r>
      <w:r w:rsidR="00F8663A" w:rsidRPr="00C01427">
        <w:rPr>
          <w:sz w:val="28"/>
          <w:szCs w:val="28"/>
          <w:rtl/>
        </w:rPr>
        <w:br/>
      </w:r>
    </w:p>
    <w:p w:rsidR="007802CE" w:rsidRPr="007802CE" w:rsidRDefault="007802CE" w:rsidP="00B56745">
      <w:pPr>
        <w:pStyle w:val="a7"/>
        <w:ind w:left="1080"/>
        <w:rPr>
          <w:sz w:val="28"/>
          <w:szCs w:val="28"/>
          <w:rtl/>
        </w:rPr>
      </w:pPr>
    </w:p>
    <w:p w:rsidR="002A3AF6" w:rsidRDefault="002A3AF6" w:rsidP="002A3AF6">
      <w:pPr>
        <w:pStyle w:val="a7"/>
        <w:rPr>
          <w:sz w:val="28"/>
          <w:szCs w:val="28"/>
        </w:rPr>
      </w:pPr>
    </w:p>
    <w:p w:rsidR="002A3AF6" w:rsidRDefault="002A3AF6" w:rsidP="007802CE">
      <w:pPr>
        <w:pStyle w:val="a7"/>
        <w:rPr>
          <w:sz w:val="28"/>
          <w:szCs w:val="28"/>
          <w:rtl/>
        </w:rPr>
      </w:pPr>
    </w:p>
    <w:p w:rsidR="007802CE" w:rsidRDefault="007802CE" w:rsidP="007802CE">
      <w:pPr>
        <w:pStyle w:val="a7"/>
        <w:rPr>
          <w:sz w:val="28"/>
          <w:szCs w:val="28"/>
          <w:rtl/>
        </w:rPr>
      </w:pPr>
    </w:p>
    <w:p w:rsidR="007802CE" w:rsidRDefault="007802CE" w:rsidP="007802CE">
      <w:pPr>
        <w:pStyle w:val="a7"/>
        <w:rPr>
          <w:sz w:val="28"/>
          <w:szCs w:val="28"/>
          <w:rtl/>
        </w:rPr>
      </w:pPr>
    </w:p>
    <w:p w:rsidR="007802CE" w:rsidRPr="00F8663A" w:rsidRDefault="007802CE" w:rsidP="007802CE">
      <w:pPr>
        <w:pStyle w:val="a7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רשמה: גב' לאה בוצר, מנהלת אדמ' בי"ח שער מנשה</w:t>
      </w:r>
    </w:p>
    <w:p w:rsidR="00FE4482" w:rsidRDefault="00FE4482" w:rsidP="00FE4482">
      <w:pPr>
        <w:rPr>
          <w:sz w:val="28"/>
          <w:szCs w:val="28"/>
          <w:rtl/>
        </w:rPr>
      </w:pPr>
    </w:p>
    <w:p w:rsidR="00FE4482" w:rsidRDefault="00FE4482" w:rsidP="00FE4482">
      <w:pPr>
        <w:rPr>
          <w:sz w:val="28"/>
          <w:szCs w:val="28"/>
          <w:rtl/>
        </w:rPr>
      </w:pPr>
    </w:p>
    <w:p w:rsidR="00FE4482" w:rsidRDefault="00FE4482" w:rsidP="007802CE">
      <w:pPr>
        <w:rPr>
          <w:sz w:val="28"/>
          <w:szCs w:val="28"/>
          <w:rtl/>
        </w:rPr>
      </w:pPr>
    </w:p>
    <w:p w:rsidR="007802CE" w:rsidRDefault="007802CE" w:rsidP="007802CE">
      <w:pPr>
        <w:rPr>
          <w:sz w:val="28"/>
          <w:szCs w:val="28"/>
          <w:rtl/>
        </w:rPr>
      </w:pPr>
    </w:p>
    <w:p w:rsidR="007802CE" w:rsidRDefault="007802CE" w:rsidP="007802CE">
      <w:pPr>
        <w:rPr>
          <w:sz w:val="28"/>
          <w:szCs w:val="28"/>
          <w:rtl/>
        </w:rPr>
      </w:pPr>
    </w:p>
    <w:p w:rsidR="007802CE" w:rsidRDefault="007802CE" w:rsidP="007802CE">
      <w:pPr>
        <w:rPr>
          <w:sz w:val="28"/>
          <w:szCs w:val="28"/>
          <w:rtl/>
        </w:rPr>
      </w:pPr>
    </w:p>
    <w:p w:rsidR="007802CE" w:rsidRPr="004B1161" w:rsidRDefault="007802CE" w:rsidP="007802CE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לב/לג</w:t>
      </w:r>
    </w:p>
    <w:sectPr w:rsidR="007802CE" w:rsidRPr="004B1161" w:rsidSect="00473CB2">
      <w:headerReference w:type="default" r:id="rId8"/>
      <w:footerReference w:type="default" r:id="rId9"/>
      <w:pgSz w:w="11906" w:h="16838"/>
      <w:pgMar w:top="1440" w:right="849" w:bottom="1440" w:left="993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58C" w:rsidRDefault="0029358C" w:rsidP="00B47EF3">
      <w:r>
        <w:separator/>
      </w:r>
    </w:p>
  </w:endnote>
  <w:endnote w:type="continuationSeparator" w:id="0">
    <w:p w:rsidR="0029358C" w:rsidRDefault="0029358C" w:rsidP="00B4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745" w:rsidRDefault="00481013" w:rsidP="00B47EF3">
    <w:pPr>
      <w:pStyle w:val="a5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137795</wp:posOffset>
              </wp:positionV>
              <wp:extent cx="6400800" cy="0"/>
              <wp:effectExtent l="9525" t="13970" r="9525" b="508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5pt" to="7in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uh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apOks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"/>
          </w:pict>
        </mc:Fallback>
      </mc:AlternateContent>
    </w:r>
  </w:p>
  <w:p w:rsidR="00B56745" w:rsidRPr="002204AA" w:rsidRDefault="00B56745" w:rsidP="00B47EF3">
    <w:pPr>
      <w:pStyle w:val="a5"/>
      <w:jc w:val="both"/>
      <w:rPr>
        <w:rFonts w:ascii="Arial" w:hAnsi="Arial" w:cs="Arial"/>
        <w:spacing w:val="2"/>
        <w:w w:val="90"/>
        <w:sz w:val="20"/>
        <w:szCs w:val="20"/>
        <w:rtl/>
      </w:rPr>
    </w:pPr>
    <w:r w:rsidRPr="002204AA">
      <w:rPr>
        <w:rFonts w:ascii="Arial" w:hAnsi="Arial" w:cs="Arial"/>
        <w:spacing w:val="2"/>
        <w:w w:val="90"/>
        <w:sz w:val="20"/>
        <w:szCs w:val="20"/>
        <w:rtl/>
      </w:rPr>
      <w:t xml:space="preserve">ד.נ חפר </w:t>
    </w:r>
    <w:r>
      <w:rPr>
        <w:rFonts w:ascii="Arial" w:hAnsi="Arial" w:cs="Arial"/>
        <w:spacing w:val="2"/>
        <w:w w:val="90"/>
        <w:sz w:val="20"/>
        <w:szCs w:val="20"/>
        <w:rtl/>
      </w:rPr>
      <w:t>37806</w:t>
    </w:r>
    <w:r w:rsidRPr="002204AA">
      <w:rPr>
        <w:rFonts w:ascii="Arial" w:hAnsi="Arial" w:cs="Arial"/>
        <w:spacing w:val="2"/>
        <w:w w:val="90"/>
        <w:sz w:val="20"/>
        <w:szCs w:val="20"/>
        <w:rtl/>
      </w:rPr>
      <w:t xml:space="preserve"> טל: </w:t>
    </w:r>
    <w:r>
      <w:rPr>
        <w:rFonts w:ascii="Arial" w:hAnsi="Arial" w:cs="Arial"/>
        <w:spacing w:val="2"/>
        <w:w w:val="90"/>
        <w:sz w:val="20"/>
        <w:szCs w:val="20"/>
      </w:rPr>
      <w:t>04-6278813</w:t>
    </w:r>
    <w:r w:rsidRPr="002204AA">
      <w:rPr>
        <w:rFonts w:ascii="Arial" w:hAnsi="Arial" w:cs="Arial"/>
        <w:spacing w:val="2"/>
        <w:w w:val="90"/>
        <w:sz w:val="20"/>
        <w:szCs w:val="20"/>
        <w:rtl/>
      </w:rPr>
      <w:t xml:space="preserve"> פקס: </w:t>
    </w:r>
    <w:r>
      <w:rPr>
        <w:rFonts w:ascii="Arial" w:hAnsi="Arial" w:cs="Arial"/>
        <w:spacing w:val="2"/>
        <w:w w:val="90"/>
        <w:sz w:val="20"/>
        <w:szCs w:val="20"/>
      </w:rPr>
      <w:t>04-6278175</w:t>
    </w:r>
    <w:r w:rsidRPr="002204AA">
      <w:rPr>
        <w:rFonts w:ascii="Arial" w:hAnsi="Arial" w:cs="Arial"/>
        <w:spacing w:val="2"/>
        <w:w w:val="90"/>
        <w:sz w:val="20"/>
        <w:szCs w:val="20"/>
        <w:rtl/>
      </w:rPr>
      <w:t xml:space="preserve"> ● </w:t>
    </w:r>
    <w:r w:rsidRPr="002204AA">
      <w:rPr>
        <w:rFonts w:ascii="Arial" w:hAnsi="Arial" w:cs="Arial"/>
        <w:spacing w:val="2"/>
        <w:w w:val="90"/>
        <w:sz w:val="20"/>
        <w:szCs w:val="20"/>
      </w:rPr>
      <w:t xml:space="preserve">Mobile Post Hefer </w:t>
    </w:r>
    <w:r>
      <w:rPr>
        <w:rFonts w:ascii="Arial" w:hAnsi="Arial" w:cs="Arial"/>
        <w:spacing w:val="2"/>
        <w:w w:val="90"/>
        <w:sz w:val="20"/>
        <w:szCs w:val="20"/>
      </w:rPr>
      <w:t>37806</w:t>
    </w:r>
    <w:r w:rsidRPr="002204AA">
      <w:rPr>
        <w:rFonts w:ascii="Arial" w:hAnsi="Arial" w:cs="Arial"/>
        <w:spacing w:val="2"/>
        <w:w w:val="90"/>
        <w:sz w:val="20"/>
        <w:szCs w:val="20"/>
      </w:rPr>
      <w:t xml:space="preserve"> Israel Tel: 972-4-6278813 Fax: 972-4-6278175</w:t>
    </w:r>
  </w:p>
  <w:p w:rsidR="00B56745" w:rsidRDefault="00B567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58C" w:rsidRDefault="0029358C" w:rsidP="00B47EF3">
      <w:r>
        <w:separator/>
      </w:r>
    </w:p>
  </w:footnote>
  <w:footnote w:type="continuationSeparator" w:id="0">
    <w:p w:rsidR="0029358C" w:rsidRDefault="0029358C" w:rsidP="00B47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745" w:rsidRDefault="00B56745" w:rsidP="00B47EF3">
    <w:pPr>
      <w:pStyle w:val="a3"/>
      <w:jc w:val="both"/>
      <w:rPr>
        <w:rFonts w:cs="Narkisim"/>
        <w:b/>
        <w:bCs/>
        <w:sz w:val="32"/>
        <w:szCs w:val="32"/>
        <w:rtl/>
      </w:rPr>
    </w:pPr>
  </w:p>
  <w:p w:rsidR="00B56745" w:rsidRDefault="00B56745" w:rsidP="00B47EF3">
    <w:pPr>
      <w:pStyle w:val="a3"/>
      <w:jc w:val="both"/>
      <w:rPr>
        <w:rFonts w:cs="Narkisim"/>
        <w:b/>
        <w:bCs/>
        <w:sz w:val="32"/>
        <w:szCs w:val="32"/>
        <w:rtl/>
      </w:rPr>
    </w:pPr>
  </w:p>
  <w:p w:rsidR="00B56745" w:rsidRPr="00564B4B" w:rsidRDefault="00B56745" w:rsidP="00B47EF3">
    <w:pPr>
      <w:pStyle w:val="a3"/>
      <w:jc w:val="both"/>
      <w:rPr>
        <w:rFonts w:cs="Narkisim"/>
        <w:b/>
        <w:bCs/>
        <w:sz w:val="32"/>
        <w:szCs w:val="32"/>
        <w:rtl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-107315</wp:posOffset>
          </wp:positionV>
          <wp:extent cx="1087120" cy="1066800"/>
          <wp:effectExtent l="19050" t="0" r="0" b="0"/>
          <wp:wrapNone/>
          <wp:docPr id="1" name="תמונה 1" descr="sm-gray-7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-gray-70%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64B4B">
      <w:rPr>
        <w:rFonts w:cs="Narkisim"/>
        <w:b/>
        <w:bCs/>
        <w:sz w:val="32"/>
        <w:szCs w:val="32"/>
        <w:rtl/>
      </w:rPr>
      <w:t>המרכז לבריאות הנפש</w:t>
    </w:r>
    <w:r>
      <w:rPr>
        <w:rFonts w:cs="Narkisim"/>
        <w:b/>
        <w:bCs/>
        <w:sz w:val="32"/>
        <w:szCs w:val="32"/>
      </w:rPr>
      <w:t xml:space="preserve">                                                                         </w:t>
    </w:r>
    <w:r w:rsidRPr="006B35EA">
      <w:rPr>
        <w:rFonts w:cs="Narkisim"/>
        <w:b/>
        <w:bCs/>
        <w:sz w:val="34"/>
        <w:szCs w:val="34"/>
        <w:rtl/>
      </w:rPr>
      <w:t>מדינת ישראל</w:t>
    </w:r>
  </w:p>
  <w:p w:rsidR="00B56745" w:rsidRPr="00F4740C" w:rsidRDefault="00B56745" w:rsidP="00B47EF3">
    <w:pPr>
      <w:pStyle w:val="a3"/>
      <w:jc w:val="both"/>
      <w:rPr>
        <w:rFonts w:ascii="Arial" w:hAnsi="Arial" w:cs="Arial"/>
        <w:b/>
        <w:bCs/>
        <w:w w:val="98"/>
        <w:sz w:val="26"/>
        <w:szCs w:val="26"/>
        <w:rtl/>
      </w:rPr>
    </w:pPr>
    <w:r>
      <w:rPr>
        <w:rFonts w:cs="Narkisim" w:hint="cs"/>
        <w:b/>
        <w:bCs/>
        <w:sz w:val="32"/>
        <w:szCs w:val="32"/>
        <w:rtl/>
      </w:rPr>
      <w:t xml:space="preserve">      </w:t>
    </w:r>
    <w:r w:rsidRPr="00564B4B">
      <w:rPr>
        <w:rFonts w:cs="Narkisim"/>
        <w:b/>
        <w:bCs/>
        <w:sz w:val="32"/>
        <w:szCs w:val="32"/>
        <w:rtl/>
      </w:rPr>
      <w:t>שער מנשה</w:t>
    </w:r>
    <w:r>
      <w:rPr>
        <w:rFonts w:cs="Narkisim" w:hint="cs"/>
        <w:b/>
        <w:bCs/>
        <w:sz w:val="32"/>
        <w:szCs w:val="32"/>
        <w:rtl/>
      </w:rPr>
      <w:t xml:space="preserve">                                                                      </w:t>
    </w:r>
    <w:r w:rsidRPr="00564B4B">
      <w:rPr>
        <w:rFonts w:cs="Narkisim"/>
        <w:b/>
        <w:bCs/>
        <w:sz w:val="32"/>
        <w:szCs w:val="32"/>
        <w:rtl/>
      </w:rPr>
      <w:t xml:space="preserve"> </w:t>
    </w:r>
    <w:r>
      <w:rPr>
        <w:rFonts w:cs="Narkisim" w:hint="cs"/>
        <w:b/>
        <w:bCs/>
        <w:sz w:val="28"/>
        <w:szCs w:val="28"/>
        <w:rtl/>
      </w:rPr>
      <w:t xml:space="preserve">  </w:t>
    </w:r>
    <w:r w:rsidRPr="00A34393">
      <w:rPr>
        <w:rFonts w:cs="Narkisim" w:hint="cs"/>
        <w:b/>
        <w:bCs/>
        <w:w w:val="99"/>
        <w:sz w:val="30"/>
        <w:szCs w:val="30"/>
        <w:rtl/>
      </w:rPr>
      <w:t xml:space="preserve"> </w:t>
    </w:r>
    <w:r w:rsidRPr="006B35EA">
      <w:rPr>
        <w:rFonts w:cs="Narkisim"/>
        <w:b/>
        <w:bCs/>
        <w:w w:val="99"/>
        <w:sz w:val="30"/>
        <w:szCs w:val="30"/>
        <w:rtl/>
      </w:rPr>
      <w:t>משרד הבריאו</w:t>
    </w:r>
    <w:r w:rsidRPr="006B35EA">
      <w:rPr>
        <w:rFonts w:cs="Narkisim" w:hint="cs"/>
        <w:b/>
        <w:bCs/>
        <w:w w:val="99"/>
        <w:sz w:val="30"/>
        <w:szCs w:val="30"/>
        <w:rtl/>
      </w:rPr>
      <w:t>ת</w:t>
    </w:r>
    <w:r>
      <w:rPr>
        <w:rFonts w:ascii="Arial" w:hAnsi="Arial" w:cs="Arial"/>
        <w:b/>
        <w:bCs/>
        <w:sz w:val="26"/>
        <w:szCs w:val="26"/>
      </w:rPr>
      <w:t xml:space="preserve"> </w:t>
    </w:r>
    <w:r>
      <w:rPr>
        <w:rFonts w:ascii="Arial" w:hAnsi="Arial" w:cs="Arial"/>
        <w:b/>
        <w:bCs/>
        <w:w w:val="98"/>
        <w:sz w:val="26"/>
        <w:szCs w:val="26"/>
      </w:rPr>
      <w:t xml:space="preserve"> </w:t>
    </w:r>
    <w:r w:rsidRPr="006B35EA">
      <w:rPr>
        <w:rFonts w:ascii="Arial" w:hAnsi="Arial" w:cs="Arial"/>
        <w:b/>
        <w:bCs/>
        <w:w w:val="98"/>
        <w:sz w:val="26"/>
        <w:szCs w:val="26"/>
      </w:rPr>
      <w:t>State of Israel</w:t>
    </w:r>
    <w:r w:rsidRPr="00F4740C">
      <w:rPr>
        <w:rFonts w:ascii="Arial" w:hAnsi="Arial" w:cs="Arial"/>
        <w:b/>
        <w:bCs/>
        <w:w w:val="98"/>
        <w:sz w:val="26"/>
        <w:szCs w:val="26"/>
      </w:rPr>
      <w:t xml:space="preserve">                                                                               Sha'ar Menashe    </w:t>
    </w:r>
    <w:r w:rsidRPr="00F4740C">
      <w:rPr>
        <w:rFonts w:ascii="Arial" w:hAnsi="Arial" w:cs="Arial" w:hint="cs"/>
        <w:b/>
        <w:bCs/>
        <w:w w:val="98"/>
        <w:sz w:val="26"/>
        <w:szCs w:val="26"/>
        <w:rtl/>
      </w:rPr>
      <w:t xml:space="preserve"> </w:t>
    </w:r>
    <w:r w:rsidRPr="00F4740C">
      <w:rPr>
        <w:rFonts w:ascii="Arial" w:hAnsi="Arial" w:cs="Arial"/>
        <w:b/>
        <w:bCs/>
        <w:w w:val="98"/>
        <w:sz w:val="26"/>
        <w:szCs w:val="26"/>
      </w:rPr>
      <w:t>Mental Health Center</w:t>
    </w:r>
    <w:r w:rsidRPr="00F4740C">
      <w:rPr>
        <w:rFonts w:ascii="Arial" w:hAnsi="Arial" w:cs="Arial"/>
        <w:b/>
        <w:bCs/>
        <w:w w:val="98"/>
        <w:sz w:val="26"/>
        <w:szCs w:val="26"/>
        <w:rtl/>
      </w:rPr>
      <w:t xml:space="preserve"> </w:t>
    </w:r>
    <w:r w:rsidRPr="00D1611E">
      <w:rPr>
        <w:rFonts w:ascii="Arial" w:hAnsi="Arial" w:cs="Arial"/>
        <w:b/>
        <w:bCs/>
        <w:w w:val="96"/>
        <w:sz w:val="10"/>
        <w:szCs w:val="10"/>
      </w:rPr>
      <w:t xml:space="preserve">   </w:t>
    </w:r>
    <w:r w:rsidRPr="00A34393">
      <w:rPr>
        <w:rFonts w:ascii="Arial" w:hAnsi="Arial" w:cs="Arial"/>
        <w:b/>
        <w:bCs/>
        <w:w w:val="92"/>
        <w:sz w:val="22"/>
        <w:szCs w:val="22"/>
      </w:rPr>
      <w:t>Ministry of Health</w:t>
    </w:r>
    <w:r w:rsidRPr="003B7826">
      <w:rPr>
        <w:rFonts w:ascii="Arial" w:hAnsi="Arial" w:cs="Arial"/>
        <w:b/>
        <w:bCs/>
        <w:w w:val="95"/>
        <w:sz w:val="20"/>
        <w:szCs w:val="20"/>
      </w:rPr>
      <w:t xml:space="preserve">  </w:t>
    </w:r>
    <w:r>
      <w:rPr>
        <w:rFonts w:ascii="Arial" w:hAnsi="Arial" w:cs="Arial"/>
        <w:b/>
        <w:bCs/>
        <w:w w:val="95"/>
        <w:sz w:val="20"/>
        <w:szCs w:val="20"/>
      </w:rPr>
      <w:t xml:space="preserve">     </w:t>
    </w:r>
    <w:r w:rsidRPr="003B7826">
      <w:rPr>
        <w:rFonts w:ascii="Arial" w:hAnsi="Arial" w:cs="Arial"/>
        <w:b/>
        <w:bCs/>
        <w:w w:val="95"/>
        <w:sz w:val="20"/>
        <w:szCs w:val="20"/>
      </w:rPr>
      <w:t xml:space="preserve">                                                                                                          </w:t>
    </w:r>
  </w:p>
  <w:p w:rsidR="00B56745" w:rsidRPr="00CC558D" w:rsidRDefault="00B56745" w:rsidP="00B47EF3">
    <w:pPr>
      <w:pStyle w:val="a3"/>
      <w:jc w:val="center"/>
      <w:rPr>
        <w:rFonts w:cs="Narkisim"/>
        <w:spacing w:val="20"/>
        <w:sz w:val="22"/>
        <w:szCs w:val="22"/>
        <w:rtl/>
      </w:rPr>
    </w:pPr>
    <w:r w:rsidRPr="00CC558D">
      <w:rPr>
        <w:rFonts w:cs="Narkisim" w:hint="cs"/>
        <w:spacing w:val="20"/>
        <w:sz w:val="22"/>
        <w:szCs w:val="22"/>
        <w:rtl/>
      </w:rPr>
      <w:t>מסונף לפקולטה לרפואה ע"ש רות וברוך רפפורט, טכניון-חיפה</w:t>
    </w:r>
  </w:p>
  <w:p w:rsidR="00B56745" w:rsidRPr="00CC558D" w:rsidRDefault="00B56745" w:rsidP="00B47EF3">
    <w:pPr>
      <w:pStyle w:val="a3"/>
      <w:jc w:val="center"/>
      <w:rPr>
        <w:rFonts w:ascii="Arial" w:hAnsi="Arial" w:cs="Arial"/>
        <w:sz w:val="20"/>
        <w:szCs w:val="20"/>
      </w:rPr>
    </w:pPr>
    <w:r w:rsidRPr="00CC558D">
      <w:rPr>
        <w:rFonts w:ascii="Arial" w:hAnsi="Arial" w:cs="Arial"/>
        <w:sz w:val="20"/>
        <w:szCs w:val="20"/>
      </w:rPr>
      <w:t>Affiliated to the Ruth and Bruce Rappaport Faculty of Medicine, Technion-Haifa</w:t>
    </w:r>
  </w:p>
  <w:p w:rsidR="00B56745" w:rsidRPr="00B47EF3" w:rsidRDefault="00B56745" w:rsidP="00B47EF3">
    <w:pPr>
      <w:pStyle w:val="a3"/>
      <w:ind w:left="-1" w:firstLine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35D29"/>
    <w:multiLevelType w:val="hybridMultilevel"/>
    <w:tmpl w:val="49CA3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2620E288">
      <w:start w:val="5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David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E1A5E"/>
    <w:multiLevelType w:val="hybridMultilevel"/>
    <w:tmpl w:val="C1264C86"/>
    <w:lvl w:ilvl="0" w:tplc="799E28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63A"/>
    <w:rsid w:val="000970FE"/>
    <w:rsid w:val="000B2D82"/>
    <w:rsid w:val="00100131"/>
    <w:rsid w:val="001339A9"/>
    <w:rsid w:val="0019530C"/>
    <w:rsid w:val="001D6365"/>
    <w:rsid w:val="002877B4"/>
    <w:rsid w:val="0029358C"/>
    <w:rsid w:val="002A3AF6"/>
    <w:rsid w:val="004100D5"/>
    <w:rsid w:val="00420125"/>
    <w:rsid w:val="00464AC3"/>
    <w:rsid w:val="00473CB2"/>
    <w:rsid w:val="00481013"/>
    <w:rsid w:val="004B1161"/>
    <w:rsid w:val="004C43C0"/>
    <w:rsid w:val="0059767B"/>
    <w:rsid w:val="005B6989"/>
    <w:rsid w:val="0065539E"/>
    <w:rsid w:val="0074504C"/>
    <w:rsid w:val="007802CE"/>
    <w:rsid w:val="00946ABD"/>
    <w:rsid w:val="009B6603"/>
    <w:rsid w:val="009C5EA4"/>
    <w:rsid w:val="00B12BAA"/>
    <w:rsid w:val="00B47EF3"/>
    <w:rsid w:val="00B56745"/>
    <w:rsid w:val="00C01427"/>
    <w:rsid w:val="00D429BF"/>
    <w:rsid w:val="00D70292"/>
    <w:rsid w:val="00EB5769"/>
    <w:rsid w:val="00ED1BCA"/>
    <w:rsid w:val="00F8663A"/>
    <w:rsid w:val="00F914AD"/>
    <w:rsid w:val="00FE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David"/>
        <w:sz w:val="28"/>
        <w:szCs w:val="28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E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EF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B47EF3"/>
    <w:rPr>
      <w:sz w:val="24"/>
      <w:szCs w:val="24"/>
    </w:rPr>
  </w:style>
  <w:style w:type="paragraph" w:styleId="a5">
    <w:name w:val="footer"/>
    <w:basedOn w:val="a"/>
    <w:link w:val="a6"/>
    <w:rsid w:val="00B47EF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rsid w:val="00B47EF3"/>
    <w:rPr>
      <w:sz w:val="24"/>
      <w:szCs w:val="24"/>
    </w:rPr>
  </w:style>
  <w:style w:type="paragraph" w:styleId="a7">
    <w:name w:val="List Paragraph"/>
    <w:basedOn w:val="a"/>
    <w:uiPriority w:val="34"/>
    <w:qFormat/>
    <w:rsid w:val="00FE4482"/>
    <w:pPr>
      <w:ind w:left="720"/>
      <w:contextualSpacing/>
    </w:pPr>
  </w:style>
  <w:style w:type="paragraph" w:styleId="a8">
    <w:name w:val="Balloon Text"/>
    <w:basedOn w:val="a"/>
    <w:link w:val="a9"/>
    <w:rsid w:val="007802CE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rsid w:val="00780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David"/>
        <w:sz w:val="28"/>
        <w:szCs w:val="28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E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EF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B47EF3"/>
    <w:rPr>
      <w:sz w:val="24"/>
      <w:szCs w:val="24"/>
    </w:rPr>
  </w:style>
  <w:style w:type="paragraph" w:styleId="a5">
    <w:name w:val="footer"/>
    <w:basedOn w:val="a"/>
    <w:link w:val="a6"/>
    <w:rsid w:val="00B47EF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rsid w:val="00B47EF3"/>
    <w:rPr>
      <w:sz w:val="24"/>
      <w:szCs w:val="24"/>
    </w:rPr>
  </w:style>
  <w:style w:type="paragraph" w:styleId="a7">
    <w:name w:val="List Paragraph"/>
    <w:basedOn w:val="a"/>
    <w:uiPriority w:val="34"/>
    <w:qFormat/>
    <w:rsid w:val="00FE4482"/>
    <w:pPr>
      <w:ind w:left="720"/>
      <w:contextualSpacing/>
    </w:pPr>
  </w:style>
  <w:style w:type="paragraph" w:styleId="a8">
    <w:name w:val="Balloon Text"/>
    <w:basedOn w:val="a"/>
    <w:link w:val="a9"/>
    <w:rsid w:val="007802CE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rsid w:val="00780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2118</Characters>
  <Application>Microsoft Office Word</Application>
  <DocSecurity>4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Shaar Menashe MHC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Liat</dc:creator>
  <cp:lastModifiedBy>Anat Mufkadi</cp:lastModifiedBy>
  <cp:revision>2</cp:revision>
  <cp:lastPrinted>2012-04-30T11:24:00Z</cp:lastPrinted>
  <dcterms:created xsi:type="dcterms:W3CDTF">2012-05-01T05:41:00Z</dcterms:created>
  <dcterms:modified xsi:type="dcterms:W3CDTF">2012-05-01T05:41:00Z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-873112069</vt:i4>
  </property>
  <property fmtid="{D5CDD505-2E9C-101B-9397-08002B2CF9AE}" pid="3" name="_NewReviewCycle">
    <vt:lpwstr/>
  </property>
  <property fmtid="{D5CDD505-2E9C-101B-9397-08002B2CF9AE}" pid="4" name="_EmailSubject">
    <vt:lpwstr>קבוצה גמישות ניהולית</vt:lpwstr>
  </property>
  <property fmtid="{D5CDD505-2E9C-101B-9397-08002B2CF9AE}" pid="5" name="_AuthorEmail">
    <vt:lpwstr>AnatM@jdc.org.il</vt:lpwstr>
  </property>
  <property fmtid="{D5CDD505-2E9C-101B-9397-08002B2CF9AE}" pid="6" name="_AuthorEmailDisplayName">
    <vt:lpwstr>Mufkadi Anat</vt:lpwstr>
  </property>
</Properties>
</file>